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НАЦІОНАЛЬНИЙ ТЕХНІЧНИЙ УНІВЕРСИТЕТ УКРАЇНИ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«КИЇВСЬКИЙ ПОЛІТЕХНІЧНИЙ ІНСТИТУТ імені ІГОРЯ СІКОРСЬКОГО»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(назва структурного підрозділу)</w: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ЗАТВЕРДЖЕНО</w: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spacing w:line="276" w:lineRule="auto"/>
        <w:ind w:left="1132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Наказом декана факультету/</w:t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spacing w:line="276" w:lineRule="auto"/>
        <w:ind w:left="1132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директором навчально-наукового інституту</w: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tabs>
          <w:tab w:val="left" w:leader="none" w:pos="567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від «___»________ _____ р. № ___</w:t>
      </w:r>
    </w:p>
    <w:p w:rsidR="00000000" w:rsidDel="00000000" w:rsidP="00000000" w:rsidRDefault="00000000" w:rsidRPr="00000000" w14:paraId="0000000B">
      <w:pPr>
        <w:keepNext w:val="1"/>
        <w:keepLines w:val="1"/>
        <w:spacing w:after="80" w:before="360" w:line="276" w:lineRule="auto"/>
        <w:ind w:left="114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ІНДИВІДУАЛЬНИЙ НАВЧАЛЬНИЙ ПЛАН УЧАСНИКА АКАДЕМІЧНОЇ МОБІЛЬНОСТІ (ЗДОБУВАЧА ТРЕТЬОГО РІВНЯ ВИЩОЇ ОСВІТИ)</w:t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 № ___</w:t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на період з ______ до _______  20__/20__ навчального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120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60.0" w:type="dxa"/>
        <w:jc w:val="left"/>
        <w:tblInd w:w="-149.0" w:type="dxa"/>
        <w:tblLayout w:type="fixed"/>
        <w:tblLook w:val="0000"/>
      </w:tblPr>
      <w:tblGrid>
        <w:gridCol w:w="6020"/>
        <w:gridCol w:w="8840"/>
        <w:tblGridChange w:id="0">
          <w:tblGrid>
            <w:gridCol w:w="6020"/>
            <w:gridCol w:w="8840"/>
          </w:tblGrid>
        </w:tblGridChange>
      </w:tblGrid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здобувача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6120"/>
              </w:tabs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факультету/навчально-наукового інституту                                      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6120"/>
              </w:tabs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Спеціальність, шифр групи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6120"/>
              </w:tabs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(шифр та назва)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Освітня програма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6120"/>
              </w:tabs>
              <w:ind w:left="4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та посада координатора з академічної мобільності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__________________________________________________</w:t>
            </w:r>
          </w:p>
        </w:tc>
      </w:tr>
    </w:tbl>
    <w:p w:rsidR="00000000" w:rsidDel="00000000" w:rsidP="00000000" w:rsidRDefault="00000000" w:rsidRPr="00000000" w14:paraId="0000001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1"/>
        <w:numPr>
          <w:ilvl w:val="0"/>
          <w:numId w:val="2"/>
        </w:numPr>
        <w:spacing w:line="240" w:lineRule="auto"/>
        <w:ind w:left="714" w:hanging="357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Перелік, зміст та обсяг освітніх компонентів у КПІ ім. Ігоря Сікорського та закладі вищої освіти, який приймає учасника академічної мобільності</w:t>
      </w:r>
      <w:r w:rsidDel="00000000" w:rsidR="00000000" w:rsidRPr="00000000">
        <w:rPr>
          <w:rtl w:val="0"/>
        </w:rPr>
      </w:r>
    </w:p>
    <w:tbl>
      <w:tblPr>
        <w:tblStyle w:val="Table2"/>
        <w:tblW w:w="148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"/>
        <w:gridCol w:w="2800"/>
        <w:gridCol w:w="1920"/>
        <w:gridCol w:w="2860"/>
        <w:gridCol w:w="2600"/>
        <w:gridCol w:w="4080"/>
        <w:tblGridChange w:id="0">
          <w:tblGrid>
            <w:gridCol w:w="580"/>
            <w:gridCol w:w="2800"/>
            <w:gridCol w:w="1920"/>
            <w:gridCol w:w="2860"/>
            <w:gridCol w:w="2600"/>
            <w:gridCol w:w="4080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ОСВІТНЯ СКЛАДОВА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освітнього компоненту у КПІ ім. Ігоря Сікорського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кредитів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ЄКТС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Вид звітності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(Екзамен/залік)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семестрового контролю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освітнього компонента приймаючого ЗВО, який підлягає визнанню, або умови проходження семестрового контролю в КПІ ім. Ігоря Сікорського  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Осінній семестр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Весняний семестр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0"/>
        <w:gridCol w:w="5040"/>
        <w:gridCol w:w="4480"/>
        <w:tblGridChange w:id="0">
          <w:tblGrid>
            <w:gridCol w:w="5300"/>
            <w:gridCol w:w="5040"/>
            <w:gridCol w:w="448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НАУКОВА СКЛАДОВА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 наукового компоненту (тема дослідження) та зміст завдання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Очікувані результати виконання завдання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 звітності та дата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вибору додаткових навчальних дисциплін для освітньої академічної мобільності</w:t>
      </w:r>
    </w:p>
    <w:p w:rsidR="00000000" w:rsidDel="00000000" w:rsidP="00000000" w:rsidRDefault="00000000" w:rsidRPr="00000000" w14:paraId="00000065">
      <w:pPr>
        <w:spacing w:line="240" w:lineRule="auto"/>
        <w:ind w:left="720" w:firstLine="0"/>
        <w:jc w:val="both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Порядок вибору додаткових навчальних дисциплін (освітніх компонентів ) для освітньої академічної мобільності здійснюється на підставі Положення про організацію освітнього процесу в КПІ ім. Ігоря Сікорського, затвердженого наказом №7-124 від 20.07.2020р.,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Положення про реалізацію права на вільний вибір навчальних дисциплін здобувачами вищої освіти КПІ ім. Ігоря Сікорського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(затвердженого та уведеного в дію наказом від 14.02.2023 р. № НОН/42/2023) та </w:t>
      </w:r>
      <w:r w:rsidDel="00000000" w:rsidR="00000000" w:rsidRPr="00000000">
        <w:rPr>
          <w:rFonts w:ascii="Cousine" w:cs="Cousine" w:eastAsia="Cousine" w:hAnsi="Cousine"/>
          <w:highlight w:val="white"/>
          <w:rtl w:val="0"/>
        </w:rPr>
        <w:t xml:space="preserve">Положення про академічну мобільність КПІ ім. Ігоря Сікорського (затверджено наказом № НОН/303/2021 від 15.12.2021 р.)</w:t>
      </w:r>
    </w:p>
    <w:p w:rsidR="00000000" w:rsidDel="00000000" w:rsidP="00000000" w:rsidRDefault="00000000" w:rsidRPr="00000000" w14:paraId="00000066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Інформація про оцінювання результатів навчання</w:t>
      </w:r>
    </w:p>
    <w:p w:rsidR="00000000" w:rsidDel="00000000" w:rsidP="00000000" w:rsidRDefault="00000000" w:rsidRPr="00000000" w14:paraId="00000068">
      <w:pPr>
        <w:spacing w:after="200" w:line="276" w:lineRule="auto"/>
        <w:ind w:left="70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Оцінювання результатів навчання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Оцінювання результатів навчання здійснюється приймаючим університетом згідно з нормативними документами та рейтинговою системою, затвердженою таким університетом. Оцінювання результатів навчання в КПІ ім. Ігоря Сікорського здійснюється згідно Положення про організацію освітнього процесу в КПІ ім. Ігоря Сікорського, затвердженого наказом №7-124 від 20.07.2020р. та Положення про систему оцінювання результатів навчання в КПІ ім. Ігоря Сікорського (затверджено та уведено в дію наказом від 14.09.2020 р. № 1/273, зі змінами, внесеними наказом від 03.05.2022 р. № НОН/131/2022). Оцінювання результатів навчання здобувачів в КПІ ім. Ігоря Сікорського проводиться з використанням рейтингової системи, в основу якої покладено поопераційний контроль і накопичення рейтингових балів за різнобічну навчально-пізнавальну діяльність здобувачів у процесі навчання. Розмір шкали РСО з навчальної дисципліни (освітнього компонента) дорівнює 100 балам, а мінімальна позитивна оцінка починається з 60 балів.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Інформація про визнання результатів навчання</w:t>
      </w:r>
    </w:p>
    <w:p w:rsidR="00000000" w:rsidDel="00000000" w:rsidP="00000000" w:rsidRDefault="00000000" w:rsidRPr="00000000" w14:paraId="0000006A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Визнання результатів навчання здійснюється згідно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Положення про визнання в КПІ ім. Ігоря Сікорського результатів попереднього навчання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(затверджено наказом № 7/157 від 28.08.2020 р.)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="360" w:lineRule="auto"/>
        <w:ind w:left="567" w:firstLine="140.9999999999999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Навчання з ________________ до ________________ відповідно до робочого навчального плану спеціальності № ________ від ____ _______________ __________ р., затвердженого першим проректором КПІ ім. Ігоря Сікорського.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line="36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00"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Завідувач кафедри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підпис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 xml:space="preserve">ПІБ</w:t>
      </w:r>
    </w:p>
    <w:p w:rsidR="00000000" w:rsidDel="00000000" w:rsidP="00000000" w:rsidRDefault="00000000" w:rsidRPr="00000000" w14:paraId="0000006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Координатор академічної мобільності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підпис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 xml:space="preserve">ПІБ</w:t>
        <w:tab/>
        <w:tab/>
        <w:tab/>
        <w:tab/>
      </w:r>
    </w:p>
    <w:p w:rsidR="00000000" w:rsidDel="00000000" w:rsidP="00000000" w:rsidRDefault="00000000" w:rsidRPr="00000000" w14:paraId="00000071">
      <w:pPr>
        <w:spacing w:after="200"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Здобувач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підпис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 xml:space="preserve">ПІБ</w:t>
        <w:tab/>
        <w:tab/>
        <w:tab/>
        <w:tab/>
      </w:r>
    </w:p>
    <w:p w:rsidR="00000000" w:rsidDel="00000000" w:rsidP="00000000" w:rsidRDefault="00000000" w:rsidRPr="00000000" w14:paraId="00000072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Здобувач допускається до продовження навчання за умови відсутності у нього академічної заборгованості станом на перший день навчання у новому семестрі.</w:t>
      </w:r>
    </w:p>
    <w:p w:rsidR="00000000" w:rsidDel="00000000" w:rsidP="00000000" w:rsidRDefault="00000000" w:rsidRPr="00000000" w14:paraId="00000074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** вказується обсяг визнання у відсотках. У разі, якщо обсяг визнання освітнього компоненту не становить 100%, окремим додатком вказуються теми, які здобувач має скласти додатково в КПІ ім. Ігоря Сікорського в дистанційному режимі.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137.6000000000001" w:top="561.6" w:left="849.5999999999999" w:right="849.5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  <w:font w:name="Georgia"/>
  <w:font w:name="Calibri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